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682"/>
        <w:rPr>
          <w:rFonts w:ascii="Times New Roman"/>
          <w:sz w:val="20"/>
        </w:rPr>
      </w:pPr>
      <w:bookmarkStart w:id="0" w:name="_Toc21193"/>
      <w:bookmarkStart w:id="1" w:name="_Toc23926"/>
      <w:r>
        <w:rPr>
          <w:rFonts w:ascii="Times New Roman"/>
          <w:sz w:val="20"/>
        </w:rPr>
        <w:drawing>
          <wp:inline distT="0" distB="0" distL="0" distR="0">
            <wp:extent cx="1983740" cy="309880"/>
            <wp:effectExtent l="0" t="0" r="16510" b="1397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942" cy="31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="9"/>
        <w:ind w:left="0"/>
        <w:rPr>
          <w:rFonts w:ascii="Times New Roman"/>
          <w:sz w:val="15"/>
        </w:rPr>
      </w:pPr>
    </w:p>
    <w:p>
      <w:pPr>
        <w:spacing w:before="0" w:line="542" w:lineRule="exact"/>
        <w:ind w:left="664" w:right="667" w:firstLine="0"/>
        <w:jc w:val="center"/>
        <w:rPr>
          <w:rFonts w:ascii="微软雅黑" w:eastAsia="微软雅黑"/>
          <w:b/>
          <w:sz w:val="32"/>
        </w:rPr>
      </w:pPr>
      <w:r>
        <w:rPr>
          <w:rFonts w:ascii="微软雅黑" w:eastAsia="微软雅黑"/>
          <w:b/>
          <w:spacing w:val="-2"/>
          <w:sz w:val="32"/>
        </w:rPr>
        <w:t>大亚湾核电运营管理有限责任公</w:t>
      </w:r>
      <w:r>
        <w:rPr>
          <w:rFonts w:ascii="微软雅黑" w:eastAsia="微软雅黑"/>
          <w:b/>
          <w:spacing w:val="-10"/>
          <w:sz w:val="32"/>
        </w:rPr>
        <w:t>司</w:t>
      </w:r>
    </w:p>
    <w:p>
      <w:pPr>
        <w:spacing w:before="179"/>
        <w:ind w:left="664" w:right="664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Daya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Bay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Nuclear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Power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Operations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&amp;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Management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Co.,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5"/>
          <w:sz w:val="28"/>
        </w:rPr>
        <w:t>Ltd</w:t>
      </w:r>
    </w:p>
    <w:p>
      <w:pPr>
        <w:pStyle w:val="6"/>
        <w:ind w:left="0"/>
        <w:rPr>
          <w:rFonts w:ascii="Arial"/>
          <w:sz w:val="20"/>
        </w:rPr>
      </w:pPr>
    </w:p>
    <w:p>
      <w:pPr>
        <w:pStyle w:val="6"/>
        <w:ind w:left="0"/>
        <w:rPr>
          <w:rFonts w:ascii="Arial"/>
          <w:sz w:val="20"/>
        </w:rPr>
      </w:pPr>
    </w:p>
    <w:p>
      <w:pPr>
        <w:pStyle w:val="6"/>
        <w:spacing w:before="10"/>
        <w:ind w:left="0"/>
        <w:rPr>
          <w:rFonts w:ascii="Arial"/>
          <w:sz w:val="18"/>
        </w:rPr>
      </w:pPr>
    </w:p>
    <w:p>
      <w:pPr>
        <w:spacing w:after="0"/>
        <w:rPr>
          <w:rFonts w:ascii="Arial"/>
          <w:sz w:val="18"/>
        </w:rPr>
        <w:sectPr>
          <w:pgSz w:w="11910" w:h="16840"/>
          <w:pgMar w:top="1520" w:right="1180" w:bottom="280" w:left="1180" w:header="720" w:footer="720" w:gutter="0"/>
          <w:cols w:space="720" w:num="1"/>
        </w:sectPr>
      </w:pPr>
    </w:p>
    <w:p>
      <w:pPr>
        <w:tabs>
          <w:tab w:val="left" w:pos="2060"/>
        </w:tabs>
        <w:spacing w:before="49"/>
        <w:ind w:left="1177" w:right="0" w:firstLine="0"/>
        <w:jc w:val="left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/>
          <w:b/>
          <w:spacing w:val="-10"/>
          <w:sz w:val="44"/>
        </w:rPr>
        <w:t>报</w:t>
      </w:r>
      <w:r>
        <w:rPr>
          <w:rFonts w:ascii="Microsoft JhengHei" w:eastAsia="Microsoft JhengHei"/>
          <w:b/>
          <w:sz w:val="44"/>
        </w:rPr>
        <w:tab/>
      </w:r>
      <w:r>
        <w:rPr>
          <w:rFonts w:ascii="Microsoft JhengHei" w:eastAsia="Microsoft JhengHei"/>
          <w:b/>
          <w:spacing w:val="-10"/>
          <w:sz w:val="44"/>
        </w:rPr>
        <w:t>告</w:t>
      </w:r>
    </w:p>
    <w:p>
      <w:pPr>
        <w:spacing w:before="60"/>
        <w:ind w:left="1172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REPORT</w:t>
      </w:r>
    </w:p>
    <w:p>
      <w:pPr>
        <w:pStyle w:val="6"/>
        <w:spacing w:before="6"/>
        <w:ind w:left="580"/>
        <w:rPr>
          <w:rFonts w:ascii="Arial" w:eastAsia="Arial"/>
        </w:rPr>
      </w:pPr>
      <w:r>
        <w:br w:type="column"/>
      </w:r>
      <w:r>
        <w:rPr>
          <w:rFonts w:ascii="微软雅黑" w:eastAsia="微软雅黑"/>
          <w:b/>
          <w:spacing w:val="-2"/>
        </w:rPr>
        <w:t>文件编码</w:t>
      </w:r>
      <w:r>
        <w:rPr>
          <w:spacing w:val="-2"/>
        </w:rPr>
        <w:t>（</w:t>
      </w:r>
      <w:r>
        <w:rPr>
          <w:rFonts w:ascii="Arial" w:eastAsia="Arial"/>
          <w:spacing w:val="-2"/>
        </w:rPr>
        <w:t>Doc.</w:t>
      </w:r>
      <w:r>
        <w:rPr>
          <w:rFonts w:ascii="Arial" w:eastAsia="Arial"/>
          <w:spacing w:val="-15"/>
        </w:rPr>
        <w:t xml:space="preserve"> </w:t>
      </w:r>
      <w:r>
        <w:rPr>
          <w:rFonts w:ascii="Arial" w:eastAsia="Arial"/>
          <w:spacing w:val="18"/>
          <w:w w:val="99"/>
        </w:rPr>
        <w:t>C</w:t>
      </w:r>
      <w:r>
        <w:rPr>
          <w:rFonts w:ascii="Arial" w:eastAsia="Arial"/>
          <w:spacing w:val="16"/>
          <w:w w:val="99"/>
        </w:rPr>
        <w:t>o</w:t>
      </w:r>
      <w:r>
        <w:rPr>
          <w:rFonts w:ascii="Arial" w:eastAsia="Arial"/>
          <w:spacing w:val="18"/>
        </w:rPr>
        <w:t>d</w:t>
      </w:r>
      <w:r>
        <w:rPr>
          <w:rFonts w:ascii="Arial" w:eastAsia="Arial"/>
          <w:spacing w:val="17"/>
        </w:rPr>
        <w:t>e</w:t>
      </w:r>
      <w:r>
        <w:rPr>
          <w:spacing w:val="-102"/>
        </w:rPr>
        <w:t>）</w:t>
      </w:r>
      <w:r>
        <w:rPr>
          <w:spacing w:val="33"/>
        </w:rPr>
        <w:t xml:space="preserve">： </w:t>
      </w:r>
      <w:r>
        <w:rPr>
          <w:rFonts w:ascii="Arial" w:eastAsia="Arial"/>
          <w:spacing w:val="-2"/>
        </w:rPr>
        <w:t>DG.NSP.111.2600/003</w:t>
      </w:r>
    </w:p>
    <w:p>
      <w:pPr>
        <w:spacing w:before="92"/>
        <w:ind w:left="580" w:right="0" w:firstLine="0"/>
        <w:jc w:val="left"/>
        <w:rPr>
          <w:sz w:val="24"/>
        </w:rPr>
      </w:pPr>
      <w:r>
        <w:rPr>
          <w:rFonts w:ascii="微软雅黑" w:eastAsia="微软雅黑"/>
          <w:b/>
          <w:sz w:val="24"/>
        </w:rPr>
        <w:t>内部编码</w:t>
      </w:r>
      <w:r>
        <w:rPr>
          <w:sz w:val="24"/>
        </w:rPr>
        <w:t>（</w:t>
      </w:r>
      <w:r>
        <w:rPr>
          <w:rFonts w:ascii="Arial" w:eastAsia="Arial"/>
          <w:sz w:val="24"/>
        </w:rPr>
        <w:t>Ori</w:t>
      </w:r>
      <w:r>
        <w:rPr>
          <w:rFonts w:ascii="Arial" w:eastAsia="Arial"/>
          <w:spacing w:val="1"/>
          <w:sz w:val="24"/>
        </w:rPr>
        <w:t xml:space="preserve">. </w:t>
      </w:r>
      <w:r>
        <w:rPr>
          <w:rFonts w:ascii="Arial" w:eastAsia="Arial"/>
          <w:spacing w:val="18"/>
          <w:sz w:val="24"/>
        </w:rPr>
        <w:t>Co</w:t>
      </w:r>
      <w:r>
        <w:rPr>
          <w:rFonts w:ascii="Arial" w:eastAsia="Arial"/>
          <w:spacing w:val="19"/>
          <w:sz w:val="24"/>
        </w:rPr>
        <w:t>de</w:t>
      </w:r>
      <w:r>
        <w:rPr>
          <w:spacing w:val="-105"/>
          <w:sz w:val="24"/>
        </w:rPr>
        <w:t>）</w:t>
      </w:r>
      <w:r>
        <w:rPr>
          <w:spacing w:val="18"/>
          <w:sz w:val="24"/>
        </w:rPr>
        <w:t>：</w:t>
      </w:r>
    </w:p>
    <w:p>
      <w:pPr>
        <w:tabs>
          <w:tab w:val="left" w:pos="4504"/>
        </w:tabs>
        <w:spacing w:before="143"/>
        <w:ind w:left="580" w:right="0" w:firstLine="0"/>
        <w:jc w:val="left"/>
        <w:rPr>
          <w:rFonts w:ascii="Arial" w:eastAsia="Arial"/>
          <w:sz w:val="21"/>
        </w:rPr>
      </w:pPr>
      <w:r>
        <w:rPr>
          <w:rFonts w:ascii="微软雅黑" w:eastAsia="微软雅黑"/>
          <w:b/>
          <w:spacing w:val="-2"/>
          <w:sz w:val="21"/>
        </w:rPr>
        <w:t>页数</w:t>
      </w:r>
      <w:r>
        <w:rPr>
          <w:rFonts w:ascii="Arial" w:eastAsia="Arial"/>
          <w:b/>
          <w:spacing w:val="-2"/>
          <w:sz w:val="21"/>
        </w:rPr>
        <w:t>+</w:t>
      </w:r>
      <w:r>
        <w:rPr>
          <w:rFonts w:ascii="微软雅黑" w:eastAsia="微软雅黑"/>
          <w:b/>
          <w:spacing w:val="-2"/>
          <w:sz w:val="21"/>
        </w:rPr>
        <w:t>附件数</w:t>
      </w:r>
      <w:r>
        <w:rPr>
          <w:spacing w:val="2"/>
          <w:sz w:val="21"/>
        </w:rPr>
        <w:t>（</w:t>
      </w:r>
      <w:r>
        <w:rPr>
          <w:rFonts w:ascii="Arial" w:eastAsia="Arial"/>
          <w:spacing w:val="5"/>
          <w:sz w:val="21"/>
        </w:rPr>
        <w:t>P</w:t>
      </w:r>
      <w:r>
        <w:rPr>
          <w:rFonts w:ascii="Arial" w:eastAsia="Arial"/>
          <w:spacing w:val="4"/>
          <w:sz w:val="21"/>
        </w:rPr>
        <w:t>a</w:t>
      </w:r>
      <w:r>
        <w:rPr>
          <w:rFonts w:ascii="Arial" w:eastAsia="Arial"/>
          <w:spacing w:val="2"/>
          <w:sz w:val="21"/>
        </w:rPr>
        <w:t>g</w:t>
      </w:r>
      <w:r>
        <w:rPr>
          <w:rFonts w:ascii="Arial" w:eastAsia="Arial"/>
          <w:spacing w:val="4"/>
          <w:sz w:val="21"/>
        </w:rPr>
        <w:t>es</w:t>
      </w:r>
      <w:r>
        <w:rPr>
          <w:rFonts w:ascii="Arial" w:eastAsia="Arial"/>
          <w:spacing w:val="1"/>
          <w:sz w:val="21"/>
        </w:rPr>
        <w:t>+</w:t>
      </w:r>
      <w:r>
        <w:rPr>
          <w:rFonts w:ascii="Arial" w:eastAsia="Arial"/>
          <w:spacing w:val="5"/>
          <w:sz w:val="21"/>
        </w:rPr>
        <w:t>A</w:t>
      </w:r>
      <w:r>
        <w:rPr>
          <w:rFonts w:ascii="Arial" w:eastAsia="Arial"/>
          <w:spacing w:val="2"/>
          <w:sz w:val="21"/>
        </w:rPr>
        <w:t>n</w:t>
      </w:r>
      <w:r>
        <w:rPr>
          <w:rFonts w:ascii="Arial" w:eastAsia="Arial"/>
          <w:spacing w:val="4"/>
          <w:sz w:val="21"/>
        </w:rPr>
        <w:t>nexes</w:t>
      </w:r>
      <w:r>
        <w:rPr>
          <w:spacing w:val="-101"/>
          <w:sz w:val="21"/>
        </w:rPr>
        <w:t>）</w:t>
      </w:r>
      <w:r>
        <w:rPr>
          <w:spacing w:val="5"/>
          <w:sz w:val="21"/>
        </w:rPr>
        <w:t>：</w:t>
      </w:r>
      <w:r>
        <w:rPr>
          <w:sz w:val="21"/>
        </w:rPr>
        <w:tab/>
      </w:r>
      <w:r>
        <w:rPr>
          <w:rFonts w:ascii="Arial" w:eastAsia="Arial"/>
          <w:spacing w:val="-5"/>
          <w:sz w:val="21"/>
        </w:rPr>
        <w:t>8+0</w:t>
      </w:r>
    </w:p>
    <w:p>
      <w:pPr>
        <w:spacing w:after="0"/>
        <w:jc w:val="left"/>
        <w:rPr>
          <w:rFonts w:ascii="Arial" w:eastAsia="Arial"/>
          <w:sz w:val="21"/>
        </w:rPr>
        <w:sectPr>
          <w:type w:val="continuous"/>
          <w:pgSz w:w="11910" w:h="16840"/>
          <w:pgMar w:top="1520" w:right="1180" w:bottom="280" w:left="1180" w:header="720" w:footer="720" w:gutter="0"/>
          <w:cols w:equalWidth="0" w:num="2">
            <w:col w:w="2505" w:space="40"/>
            <w:col w:w="7005"/>
          </w:cols>
        </w:sectPr>
      </w:pPr>
    </w:p>
    <w:p>
      <w:pPr>
        <w:pStyle w:val="6"/>
        <w:ind w:left="0"/>
        <w:rPr>
          <w:rFonts w:ascii="Arial"/>
          <w:sz w:val="20"/>
        </w:rPr>
      </w:pPr>
    </w:p>
    <w:p>
      <w:pPr>
        <w:pStyle w:val="6"/>
        <w:ind w:left="0"/>
        <w:rPr>
          <w:rFonts w:ascii="Arial"/>
          <w:sz w:val="20"/>
        </w:rPr>
      </w:pPr>
    </w:p>
    <w:p>
      <w:pPr>
        <w:pStyle w:val="6"/>
        <w:spacing w:before="1"/>
        <w:ind w:left="0"/>
        <w:rPr>
          <w:rFonts w:ascii="Arial"/>
          <w:sz w:val="23"/>
        </w:rPr>
      </w:pPr>
    </w:p>
    <w:p>
      <w:pPr>
        <w:pStyle w:val="6"/>
        <w:spacing w:line="60" w:lineRule="exact"/>
        <w:ind w:left="610"/>
        <w:rPr>
          <w:rFonts w:ascii="Arial"/>
          <w:sz w:val="25"/>
        </w:rPr>
      </w:pPr>
      <w:r>
        <w:rPr>
          <w:rFonts w:ascii="Arial"/>
          <w:position w:val="0"/>
          <w:sz w:val="6"/>
        </w:rPr>
        <mc:AlternateContent>
          <mc:Choice Requires="wpg">
            <w:drawing>
              <wp:inline distT="0" distB="0" distL="114300" distR="114300">
                <wp:extent cx="5286375" cy="38100"/>
                <wp:effectExtent l="0" t="0" r="952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38100"/>
                          <a:chOff x="0" y="0"/>
                          <a:chExt cx="8325" cy="6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8325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pt;width:416.25pt;" coordsize="8325,60" o:gfxdata="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EYD3tQAAAADAQAADwAAAAAAAAABACAAAAAiAAAAZHJzL2Rv&#10;d25yZXYueG1sUEsBAhQAFAAAAAgAh07iQFkFCkEFAgAAfwQAAA4AAAAAAAAAAQAgAAAAIwEAAGRy&#10;cy9lMm9Eb2MueG1sUEsFBgAAAAAGAAYAWQEAAJoFAAAAAA==&#10;">
                <o:lock v:ext="edit" aspectratio="f"/>
                <v:rect id="_x0000_s1026" o:spid="_x0000_s1026" o:spt="1" style="position:absolute;left:0;top:0;height:60;width:8325;" fillcolor="#000000" filled="t" stroked="f" coordsize="21600,21600" o:gfxdata="UEsDBAoAAAAAAIdO4kAAAAAAAAAAAAAAAAAEAAAAZHJzL1BLAwQUAAAACACHTuJAs/2K5L4AAADa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8Hcl3QA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2K5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spacing w:before="0" w:line="728" w:lineRule="exact"/>
        <w:ind w:left="664" w:right="665" w:firstLine="0"/>
        <w:jc w:val="center"/>
        <w:rPr>
          <w:rFonts w:ascii="微软雅黑"/>
          <w:b/>
          <w:sz w:val="20"/>
        </w:rPr>
      </w:pPr>
      <w:r>
        <w:rPr>
          <w:rFonts w:ascii="Arial" w:eastAsia="Arial"/>
          <w:b/>
          <w:spacing w:val="-2"/>
          <w:sz w:val="44"/>
        </w:rPr>
        <w:t>2025</w:t>
      </w:r>
      <w:r>
        <w:rPr>
          <w:rFonts w:ascii="Arial" w:eastAsia="Arial"/>
          <w:b/>
          <w:spacing w:val="-19"/>
          <w:sz w:val="44"/>
        </w:rPr>
        <w:t xml:space="preserve"> </w:t>
      </w:r>
      <w:r>
        <w:rPr>
          <w:rFonts w:ascii="微软雅黑" w:eastAsia="微软雅黑"/>
          <w:b/>
          <w:spacing w:val="-2"/>
          <w:sz w:val="44"/>
        </w:rPr>
        <w:t>年大亚湾基地三电厂核安全年</w:t>
      </w:r>
      <w:r>
        <w:rPr>
          <w:rFonts w:ascii="微软雅黑" w:eastAsia="微软雅黑"/>
          <w:b/>
          <w:spacing w:val="-10"/>
          <w:sz w:val="44"/>
        </w:rPr>
        <w:t>报</w:t>
      </w:r>
    </w:p>
    <w:p>
      <w:pPr>
        <w:pStyle w:val="6"/>
        <w:spacing w:before="6"/>
        <w:ind w:left="0"/>
        <w:rPr>
          <w:rFonts w:ascii="微软雅黑"/>
          <w:b/>
          <w:sz w:val="17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218440</wp:posOffset>
                </wp:positionV>
                <wp:extent cx="5286375" cy="38735"/>
                <wp:effectExtent l="0" t="0" r="9525" b="18415"/>
                <wp:wrapTopAndBottom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387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25" h="61">
                              <a:moveTo>
                                <a:pt x="2979" y="0"/>
                              </a:moveTo>
                              <a:lnTo>
                                <a:pt x="0" y="0"/>
                              </a:lnTo>
                              <a:lnTo>
                                <a:pt x="0" y="61"/>
                              </a:lnTo>
                              <a:lnTo>
                                <a:pt x="2979" y="61"/>
                              </a:lnTo>
                              <a:lnTo>
                                <a:pt x="2979" y="0"/>
                              </a:lnTo>
                              <a:close/>
                              <a:moveTo>
                                <a:pt x="8325" y="0"/>
                              </a:moveTo>
                              <a:lnTo>
                                <a:pt x="3039" y="0"/>
                              </a:lnTo>
                              <a:lnTo>
                                <a:pt x="2979" y="0"/>
                              </a:lnTo>
                              <a:lnTo>
                                <a:pt x="2979" y="61"/>
                              </a:lnTo>
                              <a:lnTo>
                                <a:pt x="3039" y="61"/>
                              </a:lnTo>
                              <a:lnTo>
                                <a:pt x="8325" y="61"/>
                              </a:lnTo>
                              <a:lnTo>
                                <a:pt x="8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9.5pt;margin-top:17.2pt;height:3.05pt;width:416.25pt;mso-position-horizontal-relative:page;mso-wrap-distance-bottom:0pt;mso-wrap-distance-top:0pt;z-index:-251656192;mso-width-relative:page;mso-height-relative:page;" fillcolor="#000000" filled="t" stroked="f" coordorigin="1791,344" coordsize="8325,61" o:gfxdata="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TCJAzWAAAACgEAAA8AAAAAAAAAAQAg&#10;AAAAIgAAAGRycy9kb3ducmV2LnhtbFBLAQIUABQAAAAIAIdO4kBzaXrKSQIAAKEFAAAOAAAAAAAA&#10;AAEAIAAAACUBAABkcnMvZTJvRG9jLnhtbFBLBQYAAAAABgAGAFkBAADgBQAAAAA=&#10;" path="m4770,344l1791,344,1791,405,4770,405,4770,344xm10116,344l4830,344,4770,344,4770,405,4830,405,10116,405,10116,344xe">
                <v:path arrowok="t"/>
                <v:fill on="t" focussize="0,0"/>
                <v:stroke on="f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6"/>
        <w:spacing w:before="5"/>
        <w:ind w:left="0"/>
        <w:rPr>
          <w:rFonts w:ascii="微软雅黑"/>
          <w:b/>
          <w:sz w:val="4"/>
        </w:rPr>
      </w:pPr>
    </w:p>
    <w:p>
      <w:pPr>
        <w:pStyle w:val="6"/>
        <w:ind w:left="668"/>
      </w:pPr>
      <w:r>
        <w:rPr>
          <w:rFonts w:ascii="微软雅黑" w:eastAsia="微软雅黑"/>
          <w:b/>
        </w:rPr>
        <w:t>关键词</w:t>
      </w:r>
      <w:r>
        <w:t>（</w:t>
      </w:r>
      <w:r>
        <w:rPr>
          <w:rFonts w:ascii="Arial" w:eastAsia="Arial"/>
        </w:rPr>
        <w:t>Key</w:t>
      </w:r>
      <w:r>
        <w:rPr>
          <w:rFonts w:ascii="Arial" w:eastAsia="Arial"/>
          <w:spacing w:val="-3"/>
        </w:rPr>
        <w:t xml:space="preserve"> </w:t>
      </w:r>
      <w:r>
        <w:rPr>
          <w:rFonts w:ascii="Arial" w:eastAsia="Arial"/>
          <w:spacing w:val="29"/>
        </w:rPr>
        <w:t>W</w:t>
      </w:r>
      <w:r>
        <w:rPr>
          <w:rFonts w:ascii="Arial" w:eastAsia="Arial"/>
          <w:spacing w:val="24"/>
        </w:rPr>
        <w:t>o</w:t>
      </w:r>
      <w:r>
        <w:rPr>
          <w:rFonts w:ascii="Arial" w:eastAsia="Arial"/>
          <w:spacing w:val="22"/>
        </w:rPr>
        <w:t>r</w:t>
      </w:r>
      <w:r>
        <w:rPr>
          <w:rFonts w:ascii="Arial" w:eastAsia="Arial"/>
          <w:spacing w:val="26"/>
        </w:rPr>
        <w:t>d</w:t>
      </w:r>
      <w:r>
        <w:rPr>
          <w:rFonts w:ascii="Arial" w:eastAsia="Arial"/>
          <w:spacing w:val="27"/>
        </w:rPr>
        <w:t>s</w:t>
      </w:r>
      <w:r>
        <w:rPr>
          <w:spacing w:val="-97"/>
        </w:rPr>
        <w:t>）：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7"/>
        <w:ind w:left="0"/>
      </w:pPr>
    </w:p>
    <w:tbl>
      <w:tblPr>
        <w:tblStyle w:val="11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865"/>
        <w:gridCol w:w="1867"/>
        <w:gridCol w:w="1867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38" w:type="dxa"/>
          </w:tcPr>
          <w:p>
            <w:pPr>
              <w:pStyle w:val="23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65" w:type="dxa"/>
          </w:tcPr>
          <w:p>
            <w:pPr>
              <w:pStyle w:val="23"/>
              <w:spacing w:line="396" w:lineRule="exact"/>
              <w:ind w:left="143" w:right="130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编写</w:t>
            </w:r>
          </w:p>
          <w:p>
            <w:pPr>
              <w:pStyle w:val="23"/>
              <w:spacing w:line="257" w:lineRule="exact"/>
              <w:ind w:left="141" w:right="130"/>
              <w:rPr>
                <w:sz w:val="24"/>
              </w:rPr>
            </w:pPr>
            <w:r>
              <w:rPr>
                <w:sz w:val="24"/>
              </w:rPr>
              <w:t>Drafted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867" w:type="dxa"/>
          </w:tcPr>
          <w:p>
            <w:pPr>
              <w:pStyle w:val="23"/>
              <w:spacing w:line="396" w:lineRule="exact"/>
              <w:ind w:left="143" w:right="132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校核</w:t>
            </w:r>
          </w:p>
          <w:p>
            <w:pPr>
              <w:pStyle w:val="23"/>
              <w:spacing w:line="257" w:lineRule="exact"/>
              <w:ind w:left="143" w:right="130"/>
              <w:rPr>
                <w:sz w:val="24"/>
              </w:rPr>
            </w:pPr>
            <w:r>
              <w:rPr>
                <w:sz w:val="24"/>
              </w:rPr>
              <w:t>Checked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867" w:type="dxa"/>
          </w:tcPr>
          <w:p>
            <w:pPr>
              <w:pStyle w:val="23"/>
              <w:spacing w:line="396" w:lineRule="exact"/>
              <w:ind w:left="143" w:right="131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审查</w:t>
            </w:r>
          </w:p>
          <w:p>
            <w:pPr>
              <w:pStyle w:val="23"/>
              <w:spacing w:line="257" w:lineRule="exact"/>
              <w:ind w:left="141" w:right="132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868" w:type="dxa"/>
          </w:tcPr>
          <w:p>
            <w:pPr>
              <w:pStyle w:val="23"/>
              <w:spacing w:line="396" w:lineRule="exact"/>
              <w:ind w:left="145" w:right="132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/>
                <w:b/>
                <w:spacing w:val="-5"/>
                <w:sz w:val="24"/>
              </w:rPr>
              <w:t>批准</w:t>
            </w:r>
          </w:p>
          <w:p>
            <w:pPr>
              <w:pStyle w:val="23"/>
              <w:spacing w:line="257" w:lineRule="exact"/>
              <w:ind w:left="146" w:right="132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6" w:hRule="atLeast"/>
        </w:trPr>
        <w:tc>
          <w:tcPr>
            <w:tcW w:w="1838" w:type="dxa"/>
          </w:tcPr>
          <w:p>
            <w:pPr>
              <w:pStyle w:val="23"/>
              <w:spacing w:before="196"/>
              <w:ind w:left="105" w:right="93"/>
              <w:rPr>
                <w:rFonts w:ascii="宋体" w:eastAsia="宋体"/>
                <w:sz w:val="24"/>
              </w:rPr>
            </w:pPr>
            <w:r>
              <w:rPr>
                <w:rFonts w:ascii="微软雅黑" w:eastAsia="微软雅黑"/>
                <w:b/>
                <w:sz w:val="24"/>
              </w:rPr>
              <w:t>姓名</w:t>
            </w:r>
            <w:r>
              <w:rPr>
                <w:rFonts w:ascii="宋体" w:eastAsia="宋体"/>
                <w:spacing w:val="-2"/>
                <w:sz w:val="24"/>
              </w:rPr>
              <w:t>（</w:t>
            </w:r>
            <w:r>
              <w:rPr>
                <w:spacing w:val="-2"/>
                <w:sz w:val="24"/>
              </w:rPr>
              <w:t>Name</w:t>
            </w:r>
            <w:r>
              <w:rPr>
                <w:rFonts w:ascii="宋体" w:eastAsia="宋体"/>
                <w:spacing w:val="-2"/>
                <w:sz w:val="24"/>
              </w:rPr>
              <w:t>）</w:t>
            </w:r>
          </w:p>
        </w:tc>
        <w:tc>
          <w:tcPr>
            <w:tcW w:w="1865" w:type="dxa"/>
          </w:tcPr>
          <w:p>
            <w:pPr>
              <w:pStyle w:val="23"/>
              <w:spacing w:before="117"/>
              <w:ind w:right="132"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P202069 </w:t>
            </w:r>
          </w:p>
          <w:p>
            <w:pPr>
              <w:pStyle w:val="23"/>
              <w:spacing w:before="117"/>
              <w:ind w:left="140" w:right="132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罗宏</w:t>
            </w:r>
          </w:p>
        </w:tc>
        <w:tc>
          <w:tcPr>
            <w:tcW w:w="1867" w:type="dxa"/>
          </w:tcPr>
          <w:p>
            <w:pPr>
              <w:pStyle w:val="23"/>
              <w:spacing w:before="117"/>
              <w:ind w:left="140" w:right="132"/>
              <w:rPr>
                <w:spacing w:val="40"/>
                <w:sz w:val="24"/>
              </w:rPr>
            </w:pPr>
            <w:r>
              <w:rPr>
                <w:sz w:val="24"/>
              </w:rPr>
              <w:t>P120769</w:t>
            </w:r>
            <w:r>
              <w:rPr>
                <w:spacing w:val="40"/>
                <w:sz w:val="24"/>
              </w:rPr>
              <w:t xml:space="preserve"> </w:t>
            </w:r>
          </w:p>
          <w:p>
            <w:pPr>
              <w:pStyle w:val="23"/>
              <w:spacing w:before="117"/>
              <w:ind w:left="140" w:right="132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潘伟</w:t>
            </w:r>
            <w:r>
              <w:rPr>
                <w:rFonts w:ascii="宋体" w:eastAsia="宋体"/>
                <w:sz w:val="24"/>
              </w:rPr>
              <w:t>等</w:t>
            </w:r>
          </w:p>
        </w:tc>
        <w:tc>
          <w:tcPr>
            <w:tcW w:w="1867" w:type="dxa"/>
          </w:tcPr>
          <w:p>
            <w:pPr>
              <w:pStyle w:val="23"/>
              <w:spacing w:before="117"/>
              <w:ind w:left="143" w:right="129"/>
              <w:rPr>
                <w:spacing w:val="40"/>
                <w:sz w:val="24"/>
              </w:rPr>
            </w:pPr>
            <w:r>
              <w:rPr>
                <w:sz w:val="24"/>
              </w:rPr>
              <w:t>P200090</w:t>
            </w:r>
            <w:r>
              <w:rPr>
                <w:spacing w:val="40"/>
                <w:sz w:val="24"/>
              </w:rPr>
              <w:t xml:space="preserve"> </w:t>
            </w:r>
          </w:p>
          <w:p>
            <w:pPr>
              <w:pStyle w:val="23"/>
              <w:spacing w:before="117"/>
              <w:ind w:left="143" w:right="129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王立</w:t>
            </w:r>
            <w:r>
              <w:rPr>
                <w:rFonts w:ascii="宋体" w:eastAsia="宋体"/>
                <w:sz w:val="24"/>
              </w:rPr>
              <w:t>峰</w:t>
            </w:r>
          </w:p>
        </w:tc>
        <w:tc>
          <w:tcPr>
            <w:tcW w:w="1868" w:type="dxa"/>
          </w:tcPr>
          <w:p>
            <w:pPr>
              <w:pStyle w:val="23"/>
              <w:spacing w:before="117"/>
              <w:ind w:left="147" w:right="132"/>
              <w:rPr>
                <w:spacing w:val="40"/>
                <w:sz w:val="24"/>
              </w:rPr>
            </w:pPr>
            <w:r>
              <w:rPr>
                <w:sz w:val="24"/>
              </w:rPr>
              <w:t>P960242</w:t>
            </w:r>
            <w:r>
              <w:rPr>
                <w:spacing w:val="40"/>
                <w:sz w:val="24"/>
              </w:rPr>
              <w:t xml:space="preserve"> </w:t>
            </w:r>
          </w:p>
          <w:p>
            <w:pPr>
              <w:pStyle w:val="23"/>
              <w:spacing w:before="117"/>
              <w:ind w:left="147" w:right="132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蔡二</w:t>
            </w:r>
            <w:r>
              <w:rPr>
                <w:rFonts w:ascii="宋体" w:eastAsia="宋体"/>
                <w:sz w:val="24"/>
              </w:rPr>
              <w:t>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38" w:type="dxa"/>
            <w:tcBorders>
              <w:bottom w:val="single" w:color="000000" w:sz="2" w:space="0"/>
            </w:tcBorders>
          </w:tcPr>
          <w:p>
            <w:pPr>
              <w:pStyle w:val="23"/>
              <w:spacing w:before="211"/>
              <w:ind w:left="105" w:right="93"/>
              <w:rPr>
                <w:rFonts w:ascii="宋体" w:eastAsia="宋体"/>
                <w:sz w:val="24"/>
              </w:rPr>
            </w:pPr>
            <w:r>
              <w:rPr>
                <w:rFonts w:ascii="微软雅黑" w:eastAsia="微软雅黑"/>
                <w:b/>
                <w:sz w:val="24"/>
              </w:rPr>
              <w:t>日期</w:t>
            </w:r>
            <w:r>
              <w:rPr>
                <w:rFonts w:ascii="宋体" w:eastAsia="宋体"/>
                <w:spacing w:val="-2"/>
                <w:sz w:val="24"/>
              </w:rPr>
              <w:t>（</w:t>
            </w:r>
            <w:r>
              <w:rPr>
                <w:spacing w:val="-2"/>
                <w:sz w:val="24"/>
              </w:rPr>
              <w:t>Date</w:t>
            </w:r>
            <w:r>
              <w:rPr>
                <w:rFonts w:ascii="宋体" w:eastAsia="宋体"/>
                <w:spacing w:val="-2"/>
                <w:sz w:val="24"/>
              </w:rPr>
              <w:t>）</w:t>
            </w:r>
          </w:p>
        </w:tc>
        <w:tc>
          <w:tcPr>
            <w:tcW w:w="1865" w:type="dxa"/>
            <w:tcBorders>
              <w:bottom w:val="single" w:color="000000" w:sz="2" w:space="0"/>
            </w:tcBorders>
          </w:tcPr>
          <w:p>
            <w:pPr>
              <w:pStyle w:val="23"/>
              <w:spacing w:before="8"/>
              <w:jc w:val="left"/>
              <w:rPr>
                <w:rFonts w:ascii="宋体"/>
                <w:sz w:val="23"/>
              </w:rPr>
            </w:pPr>
          </w:p>
          <w:p>
            <w:pPr>
              <w:pStyle w:val="23"/>
              <w:ind w:left="145" w:right="130"/>
              <w:rPr>
                <w:sz w:val="24"/>
              </w:rPr>
            </w:pPr>
            <w:r>
              <w:rPr>
                <w:spacing w:val="-2"/>
                <w:sz w:val="24"/>
              </w:rPr>
              <w:t>2026-03-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7" w:type="dxa"/>
            <w:tcBorders>
              <w:bottom w:val="single" w:color="000000" w:sz="2" w:space="0"/>
            </w:tcBorders>
          </w:tcPr>
          <w:p>
            <w:pPr>
              <w:pStyle w:val="23"/>
              <w:spacing w:before="8"/>
              <w:jc w:val="left"/>
              <w:rPr>
                <w:rFonts w:ascii="宋体"/>
                <w:sz w:val="23"/>
              </w:rPr>
            </w:pPr>
          </w:p>
          <w:p>
            <w:pPr>
              <w:pStyle w:val="23"/>
              <w:ind w:left="3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2026-03-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67" w:type="dxa"/>
            <w:tcBorders>
              <w:bottom w:val="single" w:color="000000" w:sz="2" w:space="0"/>
            </w:tcBorders>
          </w:tcPr>
          <w:p>
            <w:pPr>
              <w:pStyle w:val="23"/>
              <w:spacing w:before="8"/>
              <w:jc w:val="left"/>
              <w:rPr>
                <w:rFonts w:ascii="宋体"/>
                <w:sz w:val="23"/>
              </w:rPr>
            </w:pPr>
          </w:p>
          <w:p>
            <w:pPr>
              <w:pStyle w:val="23"/>
              <w:ind w:left="3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2026-03-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68" w:type="dxa"/>
            <w:tcBorders>
              <w:bottom w:val="single" w:color="000000" w:sz="2" w:space="0"/>
            </w:tcBorders>
          </w:tcPr>
          <w:p>
            <w:pPr>
              <w:pStyle w:val="23"/>
              <w:spacing w:before="8"/>
              <w:jc w:val="left"/>
              <w:rPr>
                <w:rFonts w:ascii="宋体"/>
                <w:sz w:val="23"/>
              </w:rPr>
            </w:pPr>
          </w:p>
          <w:p>
            <w:pPr>
              <w:pStyle w:val="23"/>
              <w:ind w:left="3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2026-03-</w:t>
            </w:r>
            <w:r>
              <w:rPr>
                <w:spacing w:val="-5"/>
                <w:sz w:val="24"/>
              </w:rPr>
              <w:t>30</w:t>
            </w:r>
          </w:p>
        </w:tc>
      </w:tr>
    </w:tbl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ind w:left="0"/>
        <w:rPr>
          <w:sz w:val="20"/>
        </w:rPr>
      </w:pPr>
    </w:p>
    <w:p>
      <w:pPr>
        <w:pStyle w:val="6"/>
        <w:spacing w:before="3"/>
        <w:ind w:left="0"/>
        <w:rPr>
          <w:sz w:val="25"/>
        </w:rPr>
      </w:pPr>
    </w:p>
    <w:p>
      <w:pPr>
        <w:spacing w:before="75"/>
        <w:ind w:left="664" w:right="667" w:firstLine="0"/>
        <w:jc w:val="center"/>
        <w:rPr>
          <w:sz w:val="18"/>
        </w:rPr>
      </w:pPr>
      <w:r>
        <w:rPr>
          <w:spacing w:val="-1"/>
          <w:sz w:val="18"/>
          <w:u w:val="single"/>
        </w:rPr>
        <w:t>此文件属大亚湾核电运营管理有限责任公司所有，未经书面许可，不得以任何方式外传。</w:t>
      </w:r>
    </w:p>
    <w:p>
      <w:pPr>
        <w:spacing w:before="121" w:line="360" w:lineRule="auto"/>
        <w:ind w:left="664" w:right="669" w:firstLine="0"/>
        <w:jc w:val="center"/>
        <w:rPr>
          <w:rFonts w:ascii="Arial"/>
          <w:sz w:val="18"/>
        </w:rPr>
        <w:sectPr>
          <w:type w:val="continuous"/>
          <w:pgSz w:w="11910" w:h="16840"/>
          <w:pgMar w:top="1520" w:right="1180" w:bottom="280" w:left="1180" w:header="720" w:footer="720" w:gutter="0"/>
          <w:cols w:space="720" w:num="1"/>
        </w:sectPr>
      </w:pPr>
      <w:r>
        <w:rPr>
          <w:rFonts w:ascii="Arial"/>
          <w:sz w:val="18"/>
          <w:u w:val="single"/>
        </w:rPr>
        <w:t>This</w:t>
      </w:r>
      <w:r>
        <w:rPr>
          <w:rFonts w:ascii="Arial"/>
          <w:spacing w:val="-2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document</w:t>
      </w:r>
      <w:r>
        <w:rPr>
          <w:rFonts w:ascii="Arial"/>
          <w:spacing w:val="-5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is</w:t>
      </w:r>
      <w:r>
        <w:rPr>
          <w:rFonts w:ascii="Arial"/>
          <w:spacing w:val="-2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the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property</w:t>
      </w:r>
      <w:r>
        <w:rPr>
          <w:rFonts w:ascii="Arial"/>
          <w:spacing w:val="-6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of Daya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Bay</w:t>
      </w:r>
      <w:r>
        <w:rPr>
          <w:rFonts w:ascii="Arial"/>
          <w:spacing w:val="-5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Nuclear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Power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Operations</w:t>
      </w:r>
      <w:r>
        <w:rPr>
          <w:rFonts w:ascii="Arial"/>
          <w:spacing w:val="-5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&amp;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Management</w:t>
      </w:r>
      <w:r>
        <w:rPr>
          <w:rFonts w:ascii="Arial"/>
          <w:spacing w:val="-3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Co.,</w:t>
      </w:r>
      <w:r>
        <w:rPr>
          <w:rFonts w:ascii="Arial"/>
          <w:spacing w:val="-5"/>
          <w:sz w:val="18"/>
          <w:u w:val="single"/>
        </w:rPr>
        <w:t xml:space="preserve"> </w:t>
      </w:r>
      <w:r>
        <w:rPr>
          <w:rFonts w:ascii="Arial"/>
          <w:sz w:val="18"/>
          <w:u w:val="single"/>
        </w:rPr>
        <w:t>Ltd(DNMC),</w:t>
      </w:r>
      <w:r>
        <w:rPr>
          <w:rFonts w:ascii="Arial"/>
          <w:sz w:val="18"/>
        </w:rPr>
        <w:t xml:space="preserve"> </w:t>
      </w:r>
      <w:r>
        <w:rPr>
          <w:rFonts w:ascii="Arial"/>
          <w:sz w:val="18"/>
          <w:u w:val="single"/>
        </w:rPr>
        <w:t>no part of this document shall be transmitted without its written permission.</w:t>
      </w:r>
      <w:bookmarkStart w:id="38" w:name="_GoBack"/>
      <w:bookmarkEnd w:id="38"/>
    </w:p>
    <w:p>
      <w:pPr>
        <w:jc w:val="both"/>
        <w:rPr>
          <w:rFonts w:ascii="宋体" w:hAnsi="宋体"/>
          <w:b/>
          <w:bCs/>
          <w:color w:val="auto"/>
          <w:sz w:val="32"/>
          <w:szCs w:val="32"/>
        </w:rPr>
      </w:pPr>
    </w:p>
    <w:p>
      <w:pPr>
        <w:jc w:val="center"/>
        <w:rPr>
          <w:b/>
          <w:bCs/>
          <w:color w:val="auto"/>
          <w:sz w:val="32"/>
          <w:szCs w:val="32"/>
        </w:rPr>
      </w:pPr>
      <w:r>
        <w:rPr>
          <w:rFonts w:ascii="宋体" w:hAnsi="宋体"/>
          <w:b/>
          <w:bCs/>
          <w:color w:val="auto"/>
          <w:sz w:val="32"/>
          <w:szCs w:val="32"/>
        </w:rPr>
        <w:t>目录</w:t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  <w:sz w:val="24"/>
        </w:rPr>
        <w:fldChar w:fldCharType="begin"/>
      </w:r>
      <w:r>
        <w:rPr>
          <w:color w:val="auto"/>
          <w:sz w:val="24"/>
        </w:rPr>
        <w:instrText xml:space="preserve">TOC \o "1-2" \h \u </w:instrText>
      </w:r>
      <w:r>
        <w:rPr>
          <w:color w:val="auto"/>
          <w:sz w:val="24"/>
        </w:rPr>
        <w:fldChar w:fldCharType="separate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\l "_Toc9836"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 xml:space="preserve">1. </w:t>
      </w:r>
      <w:r>
        <w:rPr>
          <w:rFonts w:hint="eastAsia" w:ascii="Calibri Light" w:hAnsi="Calibri Light"/>
          <w:bCs/>
          <w:color w:val="auto"/>
          <w:szCs w:val="32"/>
        </w:rPr>
        <w:t>综述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_Toc9836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"_Toc31758"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 xml:space="preserve">2. </w:t>
      </w:r>
      <w:r>
        <w:rPr>
          <w:rFonts w:hint="eastAsia" w:ascii="Calibri Light" w:hAnsi="Calibri Light"/>
          <w:bCs/>
          <w:color w:val="auto"/>
          <w:szCs w:val="32"/>
        </w:rPr>
        <w:t>核安全总体情况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_Toc31758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"_Toc31415"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2.1 核电机组安全性能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_Toc31415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"_Toc13052"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2.2 核电机组运行情况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_Toc13052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"_Toc5278"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 xml:space="preserve">3. </w:t>
      </w:r>
      <w:r>
        <w:rPr>
          <w:rFonts w:hint="eastAsia" w:ascii="Calibri Light" w:hAnsi="Calibri Light"/>
          <w:bCs/>
          <w:color w:val="auto"/>
          <w:szCs w:val="32"/>
        </w:rPr>
        <w:t>核安全管理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_Toc5278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"_Toc6873"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3.1 电厂监督、经验反馈及定期试验管理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_Toc6873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"_Toc26485"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3.2 执照文件管理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_Toc26485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"_Toc422"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3.3 核安全重要改造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_Toc422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"_Toc6456"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 xml:space="preserve">4. </w:t>
      </w:r>
      <w:r>
        <w:rPr>
          <w:rFonts w:hint="eastAsia" w:ascii="Calibri Light" w:hAnsi="Calibri Light"/>
          <w:bCs/>
          <w:color w:val="auto"/>
          <w:szCs w:val="32"/>
        </w:rPr>
        <w:t>应急、辐射防护、实体保卫、工业安全、消防、流出物和放废管理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_Toc6456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"_Toc11651"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4.1 应急管理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_Toc11651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"_Toc30541"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4.2 辐射防护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_Toc30541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"_Toc32481"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4.3</w:t>
      </w:r>
      <w:r>
        <w:rPr>
          <w:rFonts w:ascii="宋体" w:hAnsi="宋体" w:cs="宋体"/>
          <w:color w:val="auto"/>
        </w:rPr>
        <w:t xml:space="preserve"> 实体保卫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_Toc32481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"_Toc3708"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4.4</w:t>
      </w:r>
      <w:r>
        <w:rPr>
          <w:rFonts w:ascii="宋体" w:hAnsi="宋体" w:cs="宋体"/>
          <w:color w:val="auto"/>
        </w:rPr>
        <w:t xml:space="preserve"> </w:t>
      </w:r>
      <w:r>
        <w:rPr>
          <w:rFonts w:hint="eastAsia" w:ascii="宋体" w:hAnsi="宋体" w:cs="宋体"/>
          <w:color w:val="auto"/>
        </w:rPr>
        <w:t>工业安全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_Toc3708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"_Toc11547"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4.5</w:t>
      </w:r>
      <w:r>
        <w:rPr>
          <w:rFonts w:ascii="宋体" w:hAnsi="宋体" w:cs="宋体"/>
          <w:color w:val="auto"/>
        </w:rPr>
        <w:t xml:space="preserve"> </w:t>
      </w:r>
      <w:r>
        <w:rPr>
          <w:rFonts w:hint="eastAsia" w:ascii="宋体" w:hAnsi="宋体" w:cs="宋体"/>
          <w:color w:val="auto"/>
        </w:rPr>
        <w:t>消防安全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_Toc11547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0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"_Toc26525"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</w:rPr>
        <w:t>4.6</w:t>
      </w:r>
      <w:r>
        <w:rPr>
          <w:rFonts w:ascii="宋体" w:hAnsi="宋体" w:cs="宋体"/>
          <w:color w:val="auto"/>
        </w:rPr>
        <w:t xml:space="preserve"> 流出物和放射性废物管理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_Toc26525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"_Toc14565"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>5. 质量保证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_Toc14565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"_Toc14032"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 xml:space="preserve">6. </w:t>
      </w:r>
      <w:r>
        <w:rPr>
          <w:rFonts w:hint="eastAsia" w:ascii="Calibri Light" w:hAnsi="Calibri Light"/>
          <w:bCs/>
          <w:color w:val="auto"/>
          <w:szCs w:val="32"/>
        </w:rPr>
        <w:t>核安全文化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_Toc14032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9"/>
        <w:tabs>
          <w:tab w:val="right" w:leader="dot" w:pos="8306"/>
        </w:tabs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\l "_Toc19258" </w:instrText>
      </w:r>
      <w:r>
        <w:rPr>
          <w:color w:val="auto"/>
        </w:rPr>
        <w:fldChar w:fldCharType="separate"/>
      </w:r>
      <w:r>
        <w:rPr>
          <w:rFonts w:ascii="Calibri Light" w:hAnsi="Calibri Light"/>
          <w:bCs/>
          <w:color w:val="auto"/>
          <w:szCs w:val="32"/>
        </w:rPr>
        <w:t>7. 外部监督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_Toc19258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rPr>
          <w:b/>
          <w:color w:val="auto"/>
        </w:rPr>
      </w:pPr>
      <w:r>
        <w:rPr>
          <w:color w:val="auto"/>
        </w:rPr>
        <w:fldChar w:fldCharType="end"/>
      </w:r>
    </w:p>
    <w:p>
      <w:pPr>
        <w:rPr>
          <w:color w:val="auto"/>
        </w:rPr>
      </w:pPr>
      <w:r>
        <w:rPr>
          <w:b/>
          <w:color w:val="auto"/>
        </w:rPr>
        <w:br w:type="page"/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2" w:name="_Toc9836"/>
      <w:r>
        <w:rPr>
          <w:rFonts w:hint="eastAsia" w:ascii="Calibri Light" w:hAnsi="Calibri Light"/>
          <w:b/>
          <w:bCs/>
          <w:color w:val="auto"/>
          <w:sz w:val="32"/>
          <w:szCs w:val="32"/>
        </w:rPr>
        <w:t>综述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cs="Arial" w:asciiTheme="minorEastAsia" w:hAnsiTheme="minorEastAsia" w:eastAsiaTheme="minorEastAsia"/>
          <w:color w:val="auto"/>
          <w:sz w:val="24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年，大亚湾核电运营管理有限责任公司（DNMC）负责运营的大亚湾核电基地6台机组（大亚湾核电厂1、2号机，岭澳核电厂1、2号机，岭澳核电厂3、4号机）的安全、质量状态总体正常。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cs="Arial" w:asciiTheme="minorEastAsia" w:hAnsiTheme="minorEastAsia" w:eastAsiaTheme="minorEastAsia"/>
          <w:color w:val="auto"/>
          <w:sz w:val="24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年，大亚湾核电基地6台机组，无重大设备损坏事件，全年未发生非计划停堆事件，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界定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执照运行事件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1起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。与202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年WANO PWR 12项业绩指标一年值标杆比较，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</w:rPr>
        <w:t>大亚湾核电基地6台机组达到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  <w:lang w:val="en-US" w:eastAsia="zh-CN"/>
        </w:rPr>
        <w:t>先进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</w:rPr>
        <w:t>水平（前1/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</w:rPr>
        <w:t>）的比例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  <w:lang w:val="en-US" w:eastAsia="zh-CN"/>
        </w:rPr>
        <w:t>81.9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</w:rPr>
        <w:t>%。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cs="Arial" w:asciiTheme="minorEastAsia" w:hAnsiTheme="minorEastAsia" w:eastAsiaTheme="minorEastAsia"/>
          <w:color w:val="auto"/>
          <w:sz w:val="24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2025年，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大亚湾核电基地环境监测结果正常,相关指标满足管控要求；三废管理控制情况良好,各项排放指标均低于国家核安全局批准的年排放限值；辐射安全与防护状态良好，未发生放射性物质非计划或超标排放事件；应急管理和实体保卫体系运作有效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3" w:name="_Toc15539"/>
      <w:bookmarkStart w:id="4" w:name="_Toc31758"/>
      <w:r>
        <w:rPr>
          <w:rFonts w:hint="eastAsia" w:ascii="Calibri Light" w:hAnsi="Calibri Light"/>
          <w:b/>
          <w:bCs/>
          <w:color w:val="auto"/>
          <w:sz w:val="32"/>
          <w:szCs w:val="32"/>
        </w:rPr>
        <w:t>核安全总体情况</w:t>
      </w:r>
      <w:bookmarkEnd w:id="3"/>
      <w:bookmarkEnd w:id="4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5" w:name="_Toc8657"/>
      <w:bookmarkStart w:id="6" w:name="_Toc31415"/>
      <w:r>
        <w:rPr>
          <w:rFonts w:hint="eastAsia" w:ascii="宋体" w:hAnsi="宋体" w:cs="宋体"/>
          <w:b/>
          <w:color w:val="auto"/>
          <w:sz w:val="24"/>
        </w:rPr>
        <w:t>2.1 核电机组安全性能</w:t>
      </w:r>
      <w:bookmarkEnd w:id="5"/>
      <w:bookmarkEnd w:id="6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cs="Arial" w:asciiTheme="minorEastAsia" w:hAnsiTheme="minorEastAsia" w:eastAsiaTheme="minorEastAsia"/>
          <w:color w:val="auto"/>
          <w:sz w:val="24"/>
          <w:szCs w:val="21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auto"/>
          <w:sz w:val="24"/>
          <w:szCs w:val="21"/>
        </w:rPr>
        <w:t>年，大亚湾核电基地6台机组的三道屏障（燃料元件包壳、一回路压力边界、安全壳）完整性良好，核安全相关系统及设备运行情况正常，全年4个季度NNSA核安全性能指标全部为绿色。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hint="eastAsia" w:ascii="宋体" w:hAnsi="宋体" w:cs="宋体"/>
          <w:b/>
          <w:color w:val="auto"/>
          <w:sz w:val="24"/>
        </w:rPr>
      </w:pPr>
      <w:bookmarkStart w:id="7" w:name="_Toc13052"/>
      <w:bookmarkStart w:id="8" w:name="_Toc29603"/>
      <w:r>
        <w:rPr>
          <w:rFonts w:hint="eastAsia" w:ascii="宋体" w:hAnsi="宋体" w:cs="宋体"/>
          <w:b/>
          <w:color w:val="auto"/>
          <w:sz w:val="24"/>
        </w:rPr>
        <w:t>2.2 核电机组运行情况</w:t>
      </w:r>
      <w:bookmarkEnd w:id="7"/>
      <w:bookmarkEnd w:id="8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lang w:val="en-US" w:eastAsia="zh-CN"/>
        </w:rPr>
        <w:t>2025年，大亚湾核电基地6台机组全年实现上网电量478.82亿千瓦时，6台机组平均能力因子为94.3%。各个机组的运行情况如下：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大亚湾核电厂1号机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大亚湾核电厂1号机年度发电量83.73亿千瓦时，年度上网电量80.22亿千瓦时，机组能力因子为93.91%，负荷因子为96.36%，非计划能力损失因子为0.00%。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大亚湾核电厂2号机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大亚湾核电厂2号机年度发电量81.71亿千瓦时，年度上网电量78.29亿千瓦时，机组能力因子为91.48%，负荷因子为90.91%，非计划能力损失因子为0.65%。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岭澳核电厂1号机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岭澳核电厂1号机年度发电量79.37亿千瓦时，年度上网电量76.07亿千瓦时，机组能力因子为94.07%，负荷因子为91.52%，非计划能力损失因子为0.0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0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%。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岭澳核电厂2号机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岭澳核电厂2号机年度发电量85.92亿千瓦时，年度上网电量82.33亿千瓦时，机组能力因子为99.99%，负荷因子为99.08%，非计划能力损失因子为0.00%。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岭澳核电厂3号机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岭澳核电厂3号机年度发电量86.67亿千瓦时，年度上网电量81.67亿千瓦时，机组能力因子为92.99%，负荷因子为91.11%，非计划能力损失因子为0.51%。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left="0" w:firstLine="425"/>
        <w:textAlignment w:val="auto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  <w:t>岭澳核电厂4号机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岭澳核电厂4号机年度发电量85.22亿千瓦时，年度上网电量80.24亿千瓦时，机组能力因子为93.38%，负荷因子为89.57 %，非计划能力损失因子为0.00%。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9" w:name="_Toc5278"/>
      <w:bookmarkStart w:id="10" w:name="_Toc7645"/>
      <w:bookmarkStart w:id="11" w:name="_Toc7577"/>
      <w:r>
        <w:rPr>
          <w:rFonts w:hint="eastAsia" w:ascii="Calibri Light" w:hAnsi="Calibri Light"/>
          <w:b/>
          <w:bCs/>
          <w:color w:val="auto"/>
          <w:sz w:val="32"/>
          <w:szCs w:val="32"/>
        </w:rPr>
        <w:t>核安全管理</w:t>
      </w:r>
      <w:bookmarkEnd w:id="9"/>
      <w:bookmarkEnd w:id="10"/>
      <w:bookmarkEnd w:id="11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12" w:name="_Toc6307"/>
      <w:bookmarkStart w:id="13" w:name="_Toc6873"/>
      <w:r>
        <w:rPr>
          <w:rFonts w:hint="eastAsia" w:ascii="宋体" w:hAnsi="宋体" w:cs="宋体"/>
          <w:b/>
          <w:color w:val="auto"/>
          <w:sz w:val="24"/>
        </w:rPr>
        <w:t>3.1 电厂监督、经验反馈及定期试验管理</w:t>
      </w:r>
      <w:bookmarkEnd w:id="12"/>
      <w:bookmarkEnd w:id="13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2025年，大亚湾核电厂持续落实“事前、事中、事后”三级监督机制，强化外部事件热反馈及现场监督检查，开展了“核安全相关改造专项检查”、“恶劣天气防护专项检查”、“热阱性能专项检查”、“应急管理专项检查”等检查工作，主动扩展安全监督检查范围，前端探测安全偏差隐患，助力电厂安全提升。电厂持续提升对核安全TOP10问题的管控质量与效率，确保核安全相关事项得到及时妥善处理，从而有效控制核安全风险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电厂持续完善技术规格书及配套文件体系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，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针对机组应用中的疑难问题及时开展调研、讨论完善并澄清。解决了诸如“PIV阀门泄漏率异常评估”等问题。结合外部应用实践，统一行政管理的做法并编制文件进行标准化管理；针对机组随机事件后配置风险计算不及时的问题，开发视觉及语音提醒功能助力主控人员执行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电厂核安全委员会（PNSC）作为电厂核安全事项的最高审查决策机构，2025年召开了10次会议，共讨论32个议题，另外，2025年发起了20次PNSC函审。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电厂纠正行动评审委员会、电厂纠正行动协调小组，负责电厂经验反馈体系的运作管理以及电厂事件报告的审查。2025年，CARB召开6次会议、审查议题19项；CACG召开21次会议、审查议题125项。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202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年，大亚湾核电基地6台机组共执行核安全相关定期试验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22986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次，一次成功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22944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次，6台机组的核安全相关定期试验一次成功率分别为99.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69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%、99.9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1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%、99.57%、99.88%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、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99.91%和99.93%，均大于目标值（≥99%）。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</w:rPr>
      </w:pPr>
      <w:bookmarkStart w:id="14" w:name="_Toc30515"/>
      <w:bookmarkStart w:id="15" w:name="_Toc26485"/>
      <w:r>
        <w:rPr>
          <w:rFonts w:hint="eastAsia" w:ascii="宋体" w:hAnsi="宋体" w:eastAsia="宋体" w:cs="宋体"/>
          <w:b/>
          <w:color w:val="auto"/>
          <w:sz w:val="24"/>
        </w:rPr>
        <w:t>3.2 执照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文件</w:t>
      </w:r>
      <w:r>
        <w:rPr>
          <w:rFonts w:hint="eastAsia" w:ascii="宋体" w:hAnsi="宋体" w:eastAsia="宋体" w:cs="宋体"/>
          <w:b/>
          <w:color w:val="auto"/>
          <w:sz w:val="24"/>
        </w:rPr>
        <w:t>管理</w:t>
      </w:r>
      <w:bookmarkEnd w:id="14"/>
      <w:bookmarkEnd w:id="15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left="0" w:leftChars="0" w:firstLine="420" w:firstLineChars="175"/>
        <w:textAlignment w:val="auto"/>
        <w:outlineLvl w:val="1"/>
        <w:rPr>
          <w:rFonts w:hint="eastAsia" w:ascii="宋体" w:hAnsi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2025年，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大亚湾核电基地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三电厂共获国家核安全局批准的安全重要申请项目有4项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。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其中大亚湾核电厂和岭澳核电厂综合项目2项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；单电厂项目，</w:t>
      </w: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大亚湾核电厂2项，岭澳核电厂1、2号机组0项，岭澳核电厂3、4号机组0项</w:t>
      </w:r>
      <w:r>
        <w:rPr>
          <w:rFonts w:hint="eastAsia" w:ascii="宋体" w:hAnsi="宋体" w:cs="Arial"/>
          <w:color w:val="auto"/>
          <w:sz w:val="24"/>
          <w:szCs w:val="21"/>
          <w:lang w:val="en-US" w:eastAsia="zh-CN"/>
        </w:rPr>
        <w:t>。</w:t>
      </w:r>
      <w:bookmarkStart w:id="16" w:name="_Toc32044"/>
      <w:bookmarkStart w:id="17" w:name="_Toc422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3.3 核安全重要改造</w:t>
      </w:r>
      <w:bookmarkEnd w:id="16"/>
      <w:bookmarkEnd w:id="17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2025年DNMC提交了核安全重要修改申请2项。截至2025年12月31日，2项申请正在审评。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2025年，针对大亚湾核电基地6台核电机组核安全相关的工程改进和替代项目工作，电厂结合电厂改进项目实施计划，均按照相应法规和监管要求，完成向国家核安全局的许可申请。依据国家核安全局已批准的许可和计划要求，推动所涉及工程改进和替代项目的现场实施工作，并向国家核安全局及时通告了相关实施进展情况和实施效果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2025年已开展现场实施核安全相关的工程改进项目，实施结果总体满意，未发生改进或替代项目实施不成功的情况。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18" w:name="_Toc14480"/>
      <w:bookmarkStart w:id="19" w:name="_Toc6456"/>
      <w:bookmarkStart w:id="20" w:name="_Toc5169"/>
      <w:r>
        <w:rPr>
          <w:rFonts w:hint="eastAsia" w:ascii="Calibri Light" w:hAnsi="Calibri Light"/>
          <w:b/>
          <w:bCs/>
          <w:color w:val="auto"/>
          <w:sz w:val="32"/>
          <w:szCs w:val="32"/>
        </w:rPr>
        <w:t>应急、辐射防护、实体保卫、工业安全、消防、流出物和放废管理</w:t>
      </w:r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21" w:name="_Toc11651"/>
      <w:bookmarkStart w:id="22" w:name="_Toc27267"/>
      <w:r>
        <w:rPr>
          <w:rFonts w:hint="eastAsia" w:ascii="宋体" w:hAnsi="宋体" w:cs="宋体"/>
          <w:b/>
          <w:color w:val="auto"/>
          <w:sz w:val="24"/>
        </w:rPr>
        <w:t>4.1 应急管理</w:t>
      </w:r>
      <w:bookmarkEnd w:id="21"/>
      <w:bookmarkEnd w:id="22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2025年，大亚湾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核电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基地应急管理体系运作正常。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应急值班人员值班在岗情况良好，应急组织的值班在岗率指数持续维持在高水平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应急待命值班人员ON-CALL会点名到会率为100%，值班抽查在岗率为100%，应急培训计划完成率100%。公司按照应急设施设备管理制度对应急设备开展定期检查、试验和维护，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年度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应急设施设备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整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体可用率为99.87%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，持续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保持高可用率运行状态。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default" w:ascii="宋体" w:hAnsi="宋体" w:eastAsia="宋体" w:cs="Arial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全年开展各类演习演练67次，其中场内综合应急演习1次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紧急启动演习2次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其它核应急单项演习44次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常规应急专项演习20次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，全面检验和提升了应急响应能力。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highlight w:val="green"/>
          <w:lang w:val="en-US" w:eastAsia="zh-CN"/>
        </w:rPr>
      </w:pP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此外，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根据《压水堆核动力厂应急行动水平制定要求》（HAD002/08-2022）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开展新版应急行动水平研究开发工作，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同时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按照《核动力厂营运单位的应急准备和应急响应》（HAD002/01）要求对场内核事故应急预案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进行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例行升版，形成《大亚湾核电场内核事故应急预案》（第2版-2025），并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已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获国家核安全局批准。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bookmarkStart w:id="23" w:name="_Toc4827"/>
      <w:bookmarkStart w:id="24" w:name="_Toc30541"/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4.2 辐射防护</w:t>
      </w:r>
      <w:bookmarkEnd w:id="23"/>
      <w:bookmarkEnd w:id="24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1"/>
          <w:highlight w:val="green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202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大亚湾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核电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基地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台机组辐射防护业绩良好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。全年集体剂量总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计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2147.039man.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m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Sv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，个人剂量、年集体剂量均低于核电厂年度目标值，远低于国家限值。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人员体表污染数量</w:t>
      </w:r>
      <w:r>
        <w:rPr>
          <w:rFonts w:hint="eastAsia" w:ascii="宋体" w:hAnsi="宋体" w:cs="Arial"/>
          <w:color w:val="auto"/>
          <w:sz w:val="24"/>
          <w:szCs w:val="21"/>
          <w:highlight w:val="none"/>
          <w:lang w:val="en-US" w:eastAsia="zh-CN"/>
        </w:rPr>
        <w:t>持续保持低位</w:t>
      </w:r>
      <w:r>
        <w:rPr>
          <w:rFonts w:hint="eastAsia" w:ascii="宋体" w:hAnsi="宋体" w:eastAsia="宋体" w:cs="Arial"/>
          <w:color w:val="auto"/>
          <w:sz w:val="24"/>
          <w:szCs w:val="21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25" w:name="_Toc24474"/>
      <w:bookmarkStart w:id="26" w:name="_Toc32481"/>
      <w:r>
        <w:rPr>
          <w:rFonts w:hint="eastAsia" w:ascii="宋体" w:hAnsi="宋体" w:cs="宋体"/>
          <w:b/>
          <w:color w:val="auto"/>
          <w:sz w:val="24"/>
        </w:rPr>
        <w:t>4.3</w:t>
      </w:r>
      <w:r>
        <w:rPr>
          <w:rFonts w:ascii="宋体" w:hAnsi="宋体" w:cs="宋体"/>
          <w:b/>
          <w:color w:val="auto"/>
          <w:sz w:val="24"/>
        </w:rPr>
        <w:t xml:space="preserve"> 实体保卫</w:t>
      </w:r>
      <w:bookmarkEnd w:id="25"/>
      <w:bookmarkEnd w:id="26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大亚湾核电基地保卫安全状态良好，全年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发生较大影响的保卫安全事件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负面新闻，圆满完成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全国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“两会”、特殊敏感期等重大活动期间的安保任务。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年度核安保工作成效显著，先后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荣获国防科工局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授予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2025年全国核材料管制与核安保先进单位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及深圳市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2025年年度反恐怖工作表现突出集体</w:t>
      </w:r>
      <w:r>
        <w:rPr>
          <w:rFonts w:hint="eastAsia" w:ascii="宋体" w:hAnsi="宋体" w:cs="Arial"/>
          <w:color w:val="auto"/>
          <w:sz w:val="24"/>
          <w:szCs w:val="24"/>
          <w:highlight w:val="none"/>
          <w:lang w:val="en-US" w:eastAsia="zh-CN"/>
        </w:rPr>
        <w:t>”称号</w:t>
      </w:r>
      <w:r>
        <w:rPr>
          <w:rFonts w:hint="eastAsia" w:ascii="宋体" w:hAnsi="宋体" w:eastAsia="宋体" w:cs="Arial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27" w:name="_Toc12828"/>
      <w:bookmarkStart w:id="28" w:name="_Toc3708"/>
      <w:r>
        <w:rPr>
          <w:rFonts w:hint="eastAsia" w:ascii="宋体" w:hAnsi="宋体" w:cs="宋体"/>
          <w:b/>
          <w:color w:val="auto"/>
          <w:sz w:val="24"/>
        </w:rPr>
        <w:t>4.4</w:t>
      </w:r>
      <w:r>
        <w:rPr>
          <w:rFonts w:ascii="宋体" w:hAnsi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</w:rPr>
        <w:t>工业安全</w:t>
      </w:r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0" w:firstLineChars="175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2025年度工业安全风险总体情况可控，其中日常指标事件10起（急救箱处置事件2起、医学处置事件7起、重大未遂事件1起）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29" w:name="_Toc11547"/>
      <w:bookmarkStart w:id="30" w:name="_Toc7038"/>
      <w:r>
        <w:rPr>
          <w:rFonts w:hint="eastAsia" w:ascii="宋体" w:hAnsi="宋体" w:cs="宋体"/>
          <w:b/>
          <w:color w:val="auto"/>
          <w:sz w:val="24"/>
        </w:rPr>
        <w:t>4.5</w:t>
      </w:r>
      <w:r>
        <w:rPr>
          <w:rFonts w:ascii="宋体" w:hAnsi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cs="宋体"/>
          <w:b/>
          <w:color w:val="auto"/>
          <w:sz w:val="24"/>
        </w:rPr>
        <w:t>消防安全</w:t>
      </w:r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2" w:firstLineChars="176"/>
        <w:textAlignment w:val="auto"/>
        <w:rPr>
          <w:color w:val="auto"/>
        </w:rPr>
      </w:pPr>
      <w:r>
        <w:rPr>
          <w:rFonts w:hint="eastAsia" w:cs="Arial" w:asciiTheme="minorEastAsia" w:hAnsiTheme="minorEastAsia" w:eastAsiaTheme="minorEastAsia"/>
          <w:color w:val="auto"/>
          <w:sz w:val="24"/>
          <w:szCs w:val="21"/>
          <w:highlight w:val="none"/>
          <w:lang w:val="en-US" w:eastAsia="zh-CN"/>
        </w:rPr>
        <w:t>2025年，大亚湾核电基地消防安全形势持续稳定。全年基地内未发生火灾事故，厂区内未发生一级火险事件，仅发生1起零级火险事件。全年六轮大修消防工作均按既定目标顺利完成，消防安全状态总体稳中向好。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1"/>
        <w:rPr>
          <w:rFonts w:ascii="宋体" w:hAnsi="宋体" w:cs="宋体"/>
          <w:b/>
          <w:color w:val="auto"/>
          <w:sz w:val="24"/>
        </w:rPr>
      </w:pPr>
      <w:bookmarkStart w:id="31" w:name="_Toc26525"/>
      <w:bookmarkStart w:id="32" w:name="_Toc4347"/>
      <w:r>
        <w:rPr>
          <w:rFonts w:hint="eastAsia" w:ascii="宋体" w:hAnsi="宋体" w:cs="宋体"/>
          <w:b/>
          <w:color w:val="auto"/>
          <w:sz w:val="24"/>
        </w:rPr>
        <w:t>4.6</w:t>
      </w:r>
      <w:r>
        <w:rPr>
          <w:rFonts w:ascii="宋体" w:hAnsi="宋体" w:cs="宋体"/>
          <w:b/>
          <w:color w:val="auto"/>
          <w:sz w:val="24"/>
        </w:rPr>
        <w:t xml:space="preserve"> 流出物和放射性废物管理</w:t>
      </w:r>
      <w:bookmarkEnd w:id="31"/>
      <w:bookmarkEnd w:id="32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20" w:firstLineChars="175"/>
        <w:jc w:val="both"/>
        <w:textAlignment w:val="auto"/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1"/>
          <w:lang w:val="en-US" w:eastAsia="zh-CN"/>
        </w:rPr>
        <w:t>2025年大亚湾核电基地各电厂三废系统运行正常，液态、气态流出物的排放控制正常，各项排放指标均低于国家核安全局批准的年排放限值，满足《核动力厂环境辐射防护规定》（GB 6249-2025）的相关要求。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33" w:name="_Toc14565"/>
      <w:r>
        <w:rPr>
          <w:rFonts w:ascii="Calibri Light" w:hAnsi="Calibri Light"/>
          <w:b/>
          <w:bCs/>
          <w:color w:val="auto"/>
          <w:sz w:val="32"/>
          <w:szCs w:val="32"/>
        </w:rPr>
        <w:t>质量保证</w:t>
      </w:r>
      <w:bookmarkEnd w:id="33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年公司主要通过各部门自我评估、质保部独立监督两个方面开展质量保证监督活动。202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年共完成了2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份管理者自我评估报告，涉及生产运行、维修技术、工程改造、人员技能、培训授权、经验反馈等领域，提出了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200余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项改进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行动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其中未完成项目均已录入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UR平台进行跟踪，实现闭环管理，整体提升公司管理水平。</w:t>
      </w:r>
    </w:p>
    <w:p>
      <w:pPr>
        <w:spacing w:line="480" w:lineRule="exact"/>
        <w:ind w:firstLine="424" w:firstLineChars="177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年，通过构建系统化提升方案，全面提质保体系有效性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2025年公司质保体系有效性检查评价重大不符合数量为0，相较2024年，较大不符合数量由2个减少为0个。质保体系14个要素中，质保体系文件、业务过程管理2个要素由较大不符合变为一般不符合；质量风险管理要素由正常要素变为一般不符合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34" w:name="_Toc14032"/>
      <w:r>
        <w:rPr>
          <w:rFonts w:hint="eastAsia" w:ascii="Calibri Light" w:hAnsi="Calibri Light"/>
          <w:b/>
          <w:bCs/>
          <w:color w:val="auto"/>
          <w:sz w:val="32"/>
          <w:szCs w:val="32"/>
        </w:rPr>
        <w:t>核安全文化</w:t>
      </w:r>
      <w:bookmarkEnd w:id="34"/>
    </w:p>
    <w:p>
      <w:pPr>
        <w:spacing w:line="480" w:lineRule="exact"/>
        <w:ind w:firstLine="424" w:firstLineChars="177"/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2025年，为强化落实“绝对责任、最高标准、体系运行、经验反馈”的要求，大亚湾公司确立了“六个以”安全文化建设方向和目标，以安全文化中长期规划为指引，以“原汁原味的安全文化”为理论基础，以核安全文化推进工作室为平台，以取长补短的“消盲”行动为对标改进手段，以员工与合作伙伴喜爱的主流创新形式打造品牌，以“组织强文化，人人讲安全”为追求目标，联动监管部门及合作伙伴，进一步拓展核安全文化推进工作室共建共享，深化推进安全文化在班组，开展原汁原味安全文化学习专项活动，明确和强化主动报告文化“六个所有”要求，举办 “坚守诚信透明底线，筑牢安全文化根基”为主题的全员安全文化震撼教育月活动，创新开展安全文化建设系列活动，营造全员要安全、能安全的氛围，让安全成为本能的选择、必然的结果。</w:t>
      </w:r>
    </w:p>
    <w:p>
      <w:pPr>
        <w:keepNext/>
        <w:keepLines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260" w:after="60" w:line="480" w:lineRule="exact"/>
        <w:textAlignment w:val="auto"/>
        <w:outlineLvl w:val="0"/>
        <w:rPr>
          <w:rFonts w:ascii="Calibri Light" w:hAnsi="Calibri Light"/>
          <w:b/>
          <w:bCs/>
          <w:color w:val="auto"/>
          <w:sz w:val="32"/>
          <w:szCs w:val="32"/>
        </w:rPr>
      </w:pPr>
      <w:bookmarkStart w:id="35" w:name="_Toc18481"/>
      <w:bookmarkStart w:id="36" w:name="_Toc19258"/>
      <w:bookmarkStart w:id="37" w:name="_Toc18895"/>
      <w:r>
        <w:rPr>
          <w:rFonts w:ascii="Calibri Light" w:hAnsi="Calibri Light"/>
          <w:b/>
          <w:bCs/>
          <w:color w:val="auto"/>
          <w:sz w:val="32"/>
          <w:szCs w:val="32"/>
        </w:rPr>
        <w:t>外部监督</w:t>
      </w:r>
      <w:bookmarkEnd w:id="35"/>
      <w:bookmarkEnd w:id="36"/>
      <w:bookmarkEnd w:id="37"/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24" w:firstLineChars="177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025年，国家核安全局未对大亚湾基地直接开展现场核安全监督检查工作。</w:t>
      </w:r>
    </w:p>
    <w:p>
      <w:pPr>
        <w:pStyle w:val="2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left="0" w:leftChars="0" w:firstLine="420" w:firstLineChars="175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2025年，生态环境部华南核与辐射安全监督站对电厂开展了11项核安全监督检查，其中包括5个大修后临界前控制点检查、3个例行检查、2个非例行检查、1个专项核查。针对检查发现的问题，电厂制定了整改行动，所有行动均按期正常推进，总体正常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E32E"/>
    <w:multiLevelType w:val="multilevel"/>
    <w:tmpl w:val="9AC0E3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16613783"/>
    <w:multiLevelType w:val="multilevel"/>
    <w:tmpl w:val="16613783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eastAsia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F9"/>
    <w:rsid w:val="0003187B"/>
    <w:rsid w:val="000550F5"/>
    <w:rsid w:val="00055BB6"/>
    <w:rsid w:val="00056DCF"/>
    <w:rsid w:val="00080060"/>
    <w:rsid w:val="00084767"/>
    <w:rsid w:val="000B1780"/>
    <w:rsid w:val="000D16F6"/>
    <w:rsid w:val="000D41EA"/>
    <w:rsid w:val="000D771E"/>
    <w:rsid w:val="001002AC"/>
    <w:rsid w:val="00111AF9"/>
    <w:rsid w:val="00113813"/>
    <w:rsid w:val="00126B2B"/>
    <w:rsid w:val="00163964"/>
    <w:rsid w:val="001A073F"/>
    <w:rsid w:val="001A785D"/>
    <w:rsid w:val="001D616D"/>
    <w:rsid w:val="0024693A"/>
    <w:rsid w:val="0026329B"/>
    <w:rsid w:val="002940DC"/>
    <w:rsid w:val="002A2BBB"/>
    <w:rsid w:val="002B21B2"/>
    <w:rsid w:val="002B21E4"/>
    <w:rsid w:val="002D780F"/>
    <w:rsid w:val="002D7AFC"/>
    <w:rsid w:val="002F3976"/>
    <w:rsid w:val="00321ED3"/>
    <w:rsid w:val="0033332F"/>
    <w:rsid w:val="00343891"/>
    <w:rsid w:val="0035216C"/>
    <w:rsid w:val="003644BE"/>
    <w:rsid w:val="0038766E"/>
    <w:rsid w:val="0039076E"/>
    <w:rsid w:val="003B5985"/>
    <w:rsid w:val="003C0B4C"/>
    <w:rsid w:val="00414459"/>
    <w:rsid w:val="00430CBB"/>
    <w:rsid w:val="00460B5C"/>
    <w:rsid w:val="00474719"/>
    <w:rsid w:val="00492027"/>
    <w:rsid w:val="004D018B"/>
    <w:rsid w:val="004D5190"/>
    <w:rsid w:val="005124F8"/>
    <w:rsid w:val="005177D4"/>
    <w:rsid w:val="00537010"/>
    <w:rsid w:val="005442F7"/>
    <w:rsid w:val="00553277"/>
    <w:rsid w:val="00575E5B"/>
    <w:rsid w:val="00590A67"/>
    <w:rsid w:val="005A64F8"/>
    <w:rsid w:val="005E7615"/>
    <w:rsid w:val="00620160"/>
    <w:rsid w:val="006250DD"/>
    <w:rsid w:val="006318BF"/>
    <w:rsid w:val="006A1065"/>
    <w:rsid w:val="006A75C6"/>
    <w:rsid w:val="006E2FAB"/>
    <w:rsid w:val="006F4C50"/>
    <w:rsid w:val="00711111"/>
    <w:rsid w:val="00796239"/>
    <w:rsid w:val="007A09A6"/>
    <w:rsid w:val="008377CB"/>
    <w:rsid w:val="0084077D"/>
    <w:rsid w:val="008713E8"/>
    <w:rsid w:val="00880EDC"/>
    <w:rsid w:val="008C2F5E"/>
    <w:rsid w:val="008F0C1E"/>
    <w:rsid w:val="008F4F92"/>
    <w:rsid w:val="00903969"/>
    <w:rsid w:val="00951DD9"/>
    <w:rsid w:val="009559F0"/>
    <w:rsid w:val="00980A2E"/>
    <w:rsid w:val="009D6DC8"/>
    <w:rsid w:val="009F1FF1"/>
    <w:rsid w:val="00A02B7B"/>
    <w:rsid w:val="00A365A8"/>
    <w:rsid w:val="00A8739A"/>
    <w:rsid w:val="00AA5EB0"/>
    <w:rsid w:val="00AB0BDE"/>
    <w:rsid w:val="00AB2691"/>
    <w:rsid w:val="00AF76E3"/>
    <w:rsid w:val="00B45DC0"/>
    <w:rsid w:val="00B74269"/>
    <w:rsid w:val="00B85B85"/>
    <w:rsid w:val="00BE4771"/>
    <w:rsid w:val="00C447C3"/>
    <w:rsid w:val="00C801A2"/>
    <w:rsid w:val="00C81B2F"/>
    <w:rsid w:val="00C86BAB"/>
    <w:rsid w:val="00C936AA"/>
    <w:rsid w:val="00CB665C"/>
    <w:rsid w:val="00CE2A94"/>
    <w:rsid w:val="00CE720B"/>
    <w:rsid w:val="00D40FC3"/>
    <w:rsid w:val="00D5732F"/>
    <w:rsid w:val="00D702B8"/>
    <w:rsid w:val="00D71B5A"/>
    <w:rsid w:val="00D83E05"/>
    <w:rsid w:val="00D84257"/>
    <w:rsid w:val="00DC1DEA"/>
    <w:rsid w:val="00E15E09"/>
    <w:rsid w:val="00E54619"/>
    <w:rsid w:val="00E549ED"/>
    <w:rsid w:val="00E6467E"/>
    <w:rsid w:val="00E97E4A"/>
    <w:rsid w:val="00F12701"/>
    <w:rsid w:val="00F37423"/>
    <w:rsid w:val="00F82886"/>
    <w:rsid w:val="01644760"/>
    <w:rsid w:val="04816828"/>
    <w:rsid w:val="071D5062"/>
    <w:rsid w:val="08C25AA7"/>
    <w:rsid w:val="0B4B0A6C"/>
    <w:rsid w:val="0DCF608A"/>
    <w:rsid w:val="0F561E89"/>
    <w:rsid w:val="1123443B"/>
    <w:rsid w:val="11F27D2E"/>
    <w:rsid w:val="13012DFC"/>
    <w:rsid w:val="15631A26"/>
    <w:rsid w:val="18B72339"/>
    <w:rsid w:val="21C80A51"/>
    <w:rsid w:val="238B5A8D"/>
    <w:rsid w:val="29A0684C"/>
    <w:rsid w:val="2C0B7AEE"/>
    <w:rsid w:val="2C9A73AA"/>
    <w:rsid w:val="2CB63865"/>
    <w:rsid w:val="2EF1063E"/>
    <w:rsid w:val="2F9637CF"/>
    <w:rsid w:val="30D733E2"/>
    <w:rsid w:val="31500148"/>
    <w:rsid w:val="31882AE6"/>
    <w:rsid w:val="3A3E5FA6"/>
    <w:rsid w:val="3DB92C81"/>
    <w:rsid w:val="3FAA2717"/>
    <w:rsid w:val="3FC76497"/>
    <w:rsid w:val="407D55A5"/>
    <w:rsid w:val="41211F7A"/>
    <w:rsid w:val="423B1220"/>
    <w:rsid w:val="4298064E"/>
    <w:rsid w:val="42E21B41"/>
    <w:rsid w:val="43734B6D"/>
    <w:rsid w:val="43EF20EB"/>
    <w:rsid w:val="452E235F"/>
    <w:rsid w:val="46797AA2"/>
    <w:rsid w:val="494471A5"/>
    <w:rsid w:val="4B3E5F47"/>
    <w:rsid w:val="4C79211D"/>
    <w:rsid w:val="4EF94CD9"/>
    <w:rsid w:val="570E19B8"/>
    <w:rsid w:val="57A2464F"/>
    <w:rsid w:val="58E74E08"/>
    <w:rsid w:val="5BEF229B"/>
    <w:rsid w:val="5DB6380A"/>
    <w:rsid w:val="5E865DEC"/>
    <w:rsid w:val="5F263AA1"/>
    <w:rsid w:val="5F667A50"/>
    <w:rsid w:val="5F8F39AE"/>
    <w:rsid w:val="6258574D"/>
    <w:rsid w:val="62F9722E"/>
    <w:rsid w:val="62FA2FBB"/>
    <w:rsid w:val="6393569D"/>
    <w:rsid w:val="65D44B36"/>
    <w:rsid w:val="66AD5328"/>
    <w:rsid w:val="66B27D9D"/>
    <w:rsid w:val="6716090D"/>
    <w:rsid w:val="67914659"/>
    <w:rsid w:val="698541A2"/>
    <w:rsid w:val="69970380"/>
    <w:rsid w:val="69DB2667"/>
    <w:rsid w:val="69DF7D42"/>
    <w:rsid w:val="6D6B43DA"/>
    <w:rsid w:val="6EDE0056"/>
    <w:rsid w:val="6F831E9D"/>
    <w:rsid w:val="6FA164F6"/>
    <w:rsid w:val="70DB14C5"/>
    <w:rsid w:val="71855D57"/>
    <w:rsid w:val="71C23B4B"/>
    <w:rsid w:val="78801EF2"/>
    <w:rsid w:val="792D3A59"/>
    <w:rsid w:val="7AC77B18"/>
    <w:rsid w:val="7EA6518D"/>
    <w:rsid w:val="7FF1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="200" w:leftChars="200" w:hanging="200" w:hangingChars="200"/>
    </w:pPr>
    <w:rPr>
      <w:rFonts w:ascii="仿宋_GB2312" w:hAnsi="仿宋_GB2312" w:eastAsia="仿宋_GB2312"/>
      <w:sz w:val="3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spacing w:after="120"/>
    </w:pPr>
    <w:rPr>
      <w:rFonts w:ascii="Arial" w:hAnsi="Arial" w:cs="Arial"/>
      <w:sz w:val="24"/>
    </w:rPr>
  </w:style>
  <w:style w:type="paragraph" w:styleId="7">
    <w:name w:val="footer"/>
    <w:basedOn w:val="1"/>
    <w:next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Arial" w:hAnsi="Arial" w:cs="Arial"/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7">
    <w:name w:val="正文格式"/>
    <w:basedOn w:val="1"/>
    <w:link w:val="18"/>
    <w:qFormat/>
    <w:uiPriority w:val="0"/>
    <w:pPr>
      <w:spacing w:before="60" w:after="60" w:line="400" w:lineRule="exact"/>
      <w:ind w:left="300" w:leftChars="300"/>
    </w:pPr>
    <w:rPr>
      <w:rFonts w:ascii="Arial" w:hAnsi="Arial"/>
      <w:sz w:val="24"/>
      <w:szCs w:val="20"/>
    </w:rPr>
  </w:style>
  <w:style w:type="character" w:customStyle="1" w:styleId="18">
    <w:name w:val="正文格式 Char"/>
    <w:link w:val="17"/>
    <w:qFormat/>
    <w:locked/>
    <w:uiPriority w:val="0"/>
    <w:rPr>
      <w:rFonts w:ascii="Arial" w:hAnsi="Arial" w:eastAsia="宋体" w:cs="Times New Roman"/>
      <w:sz w:val="24"/>
      <w:szCs w:val="20"/>
    </w:rPr>
  </w:style>
  <w:style w:type="character" w:customStyle="1" w:styleId="19">
    <w:name w:val="正文文本 Char"/>
    <w:link w:val="6"/>
    <w:qFormat/>
    <w:uiPriority w:val="0"/>
    <w:rPr>
      <w:rFonts w:ascii="Arial" w:hAnsi="Arial" w:eastAsia="宋体" w:cs="Arial"/>
      <w:sz w:val="24"/>
      <w:szCs w:val="24"/>
    </w:rPr>
  </w:style>
  <w:style w:type="paragraph" w:customStyle="1" w:styleId="20">
    <w:name w:val="基准"/>
    <w:basedOn w:val="1"/>
    <w:qFormat/>
    <w:uiPriority w:val="0"/>
    <w:pPr>
      <w:tabs>
        <w:tab w:val="left" w:pos="284"/>
      </w:tabs>
      <w:ind w:right="113"/>
      <w:jc w:val="left"/>
    </w:pPr>
    <w:rPr>
      <w:rFonts w:ascii="Arial" w:hAnsi="Arial"/>
      <w:sz w:val="24"/>
      <w:szCs w:val="20"/>
    </w:rPr>
  </w:style>
  <w:style w:type="character" w:customStyle="1" w:styleId="21">
    <w:name w:val="页眉 Char"/>
    <w:link w:val="8"/>
    <w:qFormat/>
    <w:uiPriority w:val="0"/>
    <w:rPr>
      <w:rFonts w:ascii="Arial" w:hAnsi="Arial" w:eastAsia="宋体" w:cs="Arial"/>
      <w:kern w:val="2"/>
      <w:sz w:val="18"/>
      <w:szCs w:val="18"/>
    </w:rPr>
  </w:style>
  <w:style w:type="character" w:customStyle="1" w:styleId="22">
    <w:name w:val="页脚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3">
    <w:name w:val="Table Paragraph"/>
    <w:basedOn w:val="1"/>
    <w:qFormat/>
    <w:uiPriority w:val="1"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dnmc</Company>
  <Pages>7</Pages>
  <Words>4</Words>
  <Characters>29</Characters>
  <Lines>1</Lines>
  <Paragraphs>1</Paragraphs>
  <TotalTime>1</TotalTime>
  <ScaleCrop>false</ScaleCrop>
  <LinksUpToDate>false</LinksUpToDate>
  <CharactersWithSpaces>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2021-11-15T03:28:00Z</dcterms:created>
  <dc:creator>Liu Wen Ke 刘文可</dc:creator>
  <dc:description>docId:01c0000022068612;tempId:01c0000015169340</dc:description>
  <cp:lastModifiedBy>P231459</cp:lastModifiedBy>
  <dcterms:modified xsi:type="dcterms:W3CDTF">2026-03-31T02:29:16Z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F9021A0FAD424F2292EF4729EA686277</vt:lpwstr>
  </property>
</Properties>
</file>